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315" w:rsidRDefault="001F1315" w:rsidP="001F1315">
      <w:pPr>
        <w:spacing w:after="100" w:line="480" w:lineRule="auto"/>
        <w:ind w:firstLine="0"/>
      </w:pPr>
      <w:r>
        <w:t xml:space="preserve">1. </w:t>
      </w:r>
      <w:proofErr w:type="gramStart"/>
      <w:r w:rsidR="000167F6">
        <w:t>a</w:t>
      </w:r>
      <w:proofErr w:type="gramEnd"/>
      <w:r w:rsidR="000167F6">
        <w:t>)</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Aggregate demand type 1:Q1=100*(1000-100p</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100,000-10,000p</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Q1=1000-100p</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P=10-0.01q1</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MR1=10-0.02q1</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Aggregate demand of type 2:Q2=100*(400-50p</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40,000-5000p</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Q2=400-50p</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P=8-0.02Q2</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MR2=8-0.04Q2</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b). </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The optimal quantity in market type1,</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Profit maximizing condition: MR= MC</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Given MC=0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So</w:t>
      </w:r>
      <w:proofErr w:type="gramStart"/>
      <w:r>
        <w:rPr>
          <w:rFonts w:ascii="Helvetica" w:hAnsi="Helvetica" w:cs="Helvetica"/>
          <w:color w:val="333333"/>
          <w:sz w:val="21"/>
          <w:szCs w:val="21"/>
        </w:rPr>
        <w:t>,MR1</w:t>
      </w:r>
      <w:proofErr w:type="gramEnd"/>
      <w:r>
        <w:rPr>
          <w:rFonts w:ascii="Helvetica" w:hAnsi="Helvetica" w:cs="Helvetica"/>
          <w:color w:val="333333"/>
          <w:sz w:val="21"/>
          <w:szCs w:val="21"/>
        </w:rPr>
        <w:t>=MC</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10-0.02q1=0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Q1*=10/0.02=500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Optimal quantity in market type 2,</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MR2= MC</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8-0.04q2=0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Q2*=8/0.04=200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 Optimal price in market type 1,</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P1=10-0.01*500=5</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Optimal price in market type 2,</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P2=8-0.02*200=4</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d)</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lastRenderedPageBreak/>
        <w:t xml:space="preserve"> Total revenue= Total revenue from market 1 + total revenue from Market 2</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Total revenue=100*5*500+100*4*200=2500+800=330,000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Total cost = 10,000</w:t>
      </w:r>
    </w:p>
    <w:p w:rsidR="000167F6" w:rsidRDefault="000167F6" w:rsidP="000167F6">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Profit=330,000-10,000=320,000</w:t>
      </w:r>
    </w:p>
    <w:p w:rsidR="000167F6" w:rsidRDefault="000167F6" w:rsidP="001F1315">
      <w:pPr>
        <w:spacing w:after="100" w:line="480" w:lineRule="auto"/>
        <w:ind w:firstLine="0"/>
      </w:pPr>
    </w:p>
    <w:p w:rsidR="000167F6" w:rsidRDefault="000167F6" w:rsidP="001F1315">
      <w:pPr>
        <w:spacing w:after="100" w:line="480" w:lineRule="auto"/>
        <w:ind w:firstLine="0"/>
      </w:pPr>
      <w:r>
        <w:t xml:space="preserve">2.  </w:t>
      </w:r>
    </w:p>
    <w:p w:rsidR="00B72725" w:rsidRDefault="006B4CC4" w:rsidP="006B4CC4">
      <w:pPr>
        <w:pStyle w:val="ListParagraph"/>
        <w:numPr>
          <w:ilvl w:val="0"/>
          <w:numId w:val="4"/>
        </w:numPr>
        <w:spacing w:after="100" w:line="480" w:lineRule="auto"/>
      </w:pPr>
      <w:r w:rsidRPr="006B4CC4">
        <w:t>No strategy is a dominant strategy for either player.</w:t>
      </w:r>
    </w:p>
    <w:p w:rsidR="00E1435A" w:rsidRDefault="00F22815" w:rsidP="006B4CC4">
      <w:pPr>
        <w:pStyle w:val="ListParagraph"/>
        <w:numPr>
          <w:ilvl w:val="0"/>
          <w:numId w:val="4"/>
        </w:numPr>
        <w:spacing w:after="100" w:line="480" w:lineRule="auto"/>
      </w:pPr>
      <w:r>
        <w:t xml:space="preserve">There are two Nash equilibria on (C, A) and (A, C). </w:t>
      </w:r>
    </w:p>
    <w:tbl>
      <w:tblPr>
        <w:tblStyle w:val="TableGrid"/>
        <w:tblW w:w="0" w:type="auto"/>
        <w:tblInd w:w="1165" w:type="dxa"/>
        <w:tblLook w:val="04A0" w:firstRow="1" w:lastRow="0" w:firstColumn="1" w:lastColumn="0" w:noHBand="0" w:noVBand="1"/>
      </w:tblPr>
      <w:tblGrid>
        <w:gridCol w:w="630"/>
        <w:gridCol w:w="1440"/>
        <w:gridCol w:w="1710"/>
        <w:gridCol w:w="1350"/>
      </w:tblGrid>
      <w:tr w:rsidR="00E1435A" w:rsidRPr="00E1435A" w:rsidTr="00E1435A">
        <w:tc>
          <w:tcPr>
            <w:tcW w:w="630" w:type="dxa"/>
          </w:tcPr>
          <w:p w:rsidR="00E1435A" w:rsidRPr="00E1435A" w:rsidRDefault="00E1435A" w:rsidP="00E1435A">
            <w:pPr>
              <w:spacing w:after="100" w:line="480" w:lineRule="auto"/>
              <w:ind w:firstLine="0"/>
              <w:rPr>
                <w:rFonts w:ascii="Times New Roman" w:hAnsi="Times New Roman" w:cs="Times New Roman"/>
                <w:sz w:val="24"/>
                <w:szCs w:val="24"/>
              </w:rPr>
            </w:pPr>
          </w:p>
        </w:tc>
        <w:tc>
          <w:tcPr>
            <w:tcW w:w="144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A</w:t>
            </w:r>
          </w:p>
        </w:tc>
        <w:tc>
          <w:tcPr>
            <w:tcW w:w="171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B</w:t>
            </w:r>
          </w:p>
        </w:tc>
        <w:tc>
          <w:tcPr>
            <w:tcW w:w="135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C</w:t>
            </w:r>
          </w:p>
        </w:tc>
      </w:tr>
      <w:tr w:rsidR="00E1435A" w:rsidRPr="00E1435A" w:rsidTr="00E1435A">
        <w:tc>
          <w:tcPr>
            <w:tcW w:w="63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A</w:t>
            </w:r>
          </w:p>
        </w:tc>
        <w:tc>
          <w:tcPr>
            <w:tcW w:w="144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-10 , -10</w:t>
            </w:r>
          </w:p>
        </w:tc>
        <w:tc>
          <w:tcPr>
            <w:tcW w:w="171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0, 10</w:t>
            </w:r>
          </w:p>
        </w:tc>
        <w:tc>
          <w:tcPr>
            <w:tcW w:w="135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u w:val="single"/>
              </w:rPr>
              <w:t>10</w:t>
            </w:r>
            <w:r w:rsidRPr="00E1435A">
              <w:rPr>
                <w:rFonts w:ascii="Times New Roman" w:hAnsi="Times New Roman" w:cs="Times New Roman"/>
                <w:sz w:val="24"/>
                <w:szCs w:val="24"/>
              </w:rPr>
              <w:t xml:space="preserve">, </w:t>
            </w:r>
            <w:r w:rsidRPr="00E1435A">
              <w:rPr>
                <w:rFonts w:ascii="Times New Roman" w:hAnsi="Times New Roman" w:cs="Times New Roman"/>
                <w:sz w:val="24"/>
                <w:szCs w:val="24"/>
                <w:u w:val="single"/>
              </w:rPr>
              <w:t>20</w:t>
            </w:r>
          </w:p>
        </w:tc>
      </w:tr>
      <w:tr w:rsidR="00E1435A" w:rsidRPr="00E1435A" w:rsidTr="00E1435A">
        <w:tc>
          <w:tcPr>
            <w:tcW w:w="63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B</w:t>
            </w:r>
          </w:p>
        </w:tc>
        <w:tc>
          <w:tcPr>
            <w:tcW w:w="144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10 , 0</w:t>
            </w:r>
          </w:p>
        </w:tc>
        <w:tc>
          <w:tcPr>
            <w:tcW w:w="171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-20, -20</w:t>
            </w:r>
          </w:p>
        </w:tc>
        <w:tc>
          <w:tcPr>
            <w:tcW w:w="135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w:t>
            </w:r>
            <w:r w:rsidRPr="00E1435A">
              <w:rPr>
                <w:rFonts w:ascii="Times New Roman" w:hAnsi="Times New Roman" w:cs="Times New Roman"/>
                <w:color w:val="333333"/>
                <w:sz w:val="24"/>
                <w:szCs w:val="24"/>
              </w:rPr>
              <w:t xml:space="preserve">5, </w:t>
            </w:r>
            <w:r w:rsidRPr="00E1435A">
              <w:rPr>
                <w:rFonts w:ascii="Times New Roman" w:hAnsi="Times New Roman" w:cs="Times New Roman"/>
                <w:sz w:val="24"/>
                <w:szCs w:val="24"/>
                <w:u w:val="single"/>
              </w:rPr>
              <w:t>1</w:t>
            </w:r>
            <w:r w:rsidRPr="00E1435A">
              <w:rPr>
                <w:rFonts w:ascii="Times New Roman" w:hAnsi="Times New Roman" w:cs="Times New Roman"/>
                <w:color w:val="333333"/>
                <w:sz w:val="24"/>
                <w:szCs w:val="24"/>
                <w:u w:val="single"/>
              </w:rPr>
              <w:t>5</w:t>
            </w:r>
          </w:p>
        </w:tc>
      </w:tr>
      <w:tr w:rsidR="00E1435A" w:rsidRPr="00E1435A" w:rsidTr="00E1435A">
        <w:tc>
          <w:tcPr>
            <w:tcW w:w="63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C</w:t>
            </w:r>
          </w:p>
        </w:tc>
        <w:tc>
          <w:tcPr>
            <w:tcW w:w="144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u w:val="single"/>
              </w:rPr>
              <w:t>20</w:t>
            </w:r>
            <w:r w:rsidRPr="00E1435A">
              <w:rPr>
                <w:rFonts w:ascii="Times New Roman" w:hAnsi="Times New Roman" w:cs="Times New Roman"/>
                <w:sz w:val="24"/>
                <w:szCs w:val="24"/>
              </w:rPr>
              <w:t xml:space="preserve"> , </w:t>
            </w:r>
            <w:r w:rsidRPr="00E1435A">
              <w:rPr>
                <w:rFonts w:ascii="Times New Roman" w:hAnsi="Times New Roman" w:cs="Times New Roman"/>
                <w:sz w:val="24"/>
                <w:szCs w:val="24"/>
                <w:u w:val="single"/>
              </w:rPr>
              <w:t>10</w:t>
            </w:r>
          </w:p>
        </w:tc>
        <w:tc>
          <w:tcPr>
            <w:tcW w:w="171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u w:val="single"/>
              </w:rPr>
              <w:t>1</w:t>
            </w:r>
            <w:r w:rsidRPr="00E1435A">
              <w:rPr>
                <w:rFonts w:ascii="Times New Roman" w:hAnsi="Times New Roman" w:cs="Times New Roman"/>
                <w:color w:val="333333"/>
                <w:sz w:val="24"/>
                <w:szCs w:val="24"/>
                <w:u w:val="single"/>
              </w:rPr>
              <w:t>5</w:t>
            </w:r>
            <w:r w:rsidRPr="00E1435A">
              <w:rPr>
                <w:rFonts w:ascii="Times New Roman" w:hAnsi="Times New Roman" w:cs="Times New Roman"/>
                <w:color w:val="333333"/>
                <w:sz w:val="24"/>
                <w:szCs w:val="24"/>
              </w:rPr>
              <w:t>, -5</w:t>
            </w:r>
          </w:p>
        </w:tc>
        <w:tc>
          <w:tcPr>
            <w:tcW w:w="1350" w:type="dxa"/>
          </w:tcPr>
          <w:p w:rsidR="00E1435A" w:rsidRPr="00E1435A" w:rsidRDefault="00E1435A" w:rsidP="00E1435A">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-30, -30</w:t>
            </w:r>
          </w:p>
        </w:tc>
      </w:tr>
    </w:tbl>
    <w:p w:rsidR="00F22815" w:rsidRDefault="00F22815" w:rsidP="00F22815">
      <w:pPr>
        <w:spacing w:after="100" w:line="480" w:lineRule="auto"/>
        <w:ind w:firstLine="0"/>
      </w:pPr>
      <w:r>
        <w:t>The playoffs that have been underlined are the best equilibrium strategies of each of the players given the strategies of the other players.</w:t>
      </w:r>
    </w:p>
    <w:p w:rsidR="00F22815" w:rsidRDefault="00F22815" w:rsidP="00F22815">
      <w:pPr>
        <w:pStyle w:val="ListParagraph"/>
        <w:numPr>
          <w:ilvl w:val="0"/>
          <w:numId w:val="4"/>
        </w:numPr>
        <w:spacing w:after="100" w:line="480" w:lineRule="auto"/>
        <w:rPr>
          <w:noProof/>
        </w:rPr>
      </w:pPr>
      <w:r>
        <w:rPr>
          <w:noProof/>
        </w:rPr>
        <w:t xml:space="preserve">Player 1 maximum strategy given his playoffs is given below: </w:t>
      </w:r>
    </w:p>
    <w:tbl>
      <w:tblPr>
        <w:tblStyle w:val="TableGrid"/>
        <w:tblW w:w="0" w:type="auto"/>
        <w:tblInd w:w="1165" w:type="dxa"/>
        <w:tblLook w:val="04A0" w:firstRow="1" w:lastRow="0" w:firstColumn="1" w:lastColumn="0" w:noHBand="0" w:noVBand="1"/>
      </w:tblPr>
      <w:tblGrid>
        <w:gridCol w:w="630"/>
        <w:gridCol w:w="1440"/>
        <w:gridCol w:w="1710"/>
        <w:gridCol w:w="1440"/>
        <w:gridCol w:w="1260"/>
      </w:tblGrid>
      <w:tr w:rsidR="00F22815" w:rsidRPr="00E1435A" w:rsidTr="00F22815">
        <w:tc>
          <w:tcPr>
            <w:tcW w:w="630" w:type="dxa"/>
          </w:tcPr>
          <w:p w:rsidR="00F22815" w:rsidRPr="00E1435A" w:rsidRDefault="00F22815" w:rsidP="007C47CE">
            <w:pPr>
              <w:spacing w:after="100" w:line="480" w:lineRule="auto"/>
              <w:ind w:firstLine="0"/>
              <w:rPr>
                <w:rFonts w:ascii="Times New Roman" w:hAnsi="Times New Roman" w:cs="Times New Roman"/>
                <w:sz w:val="24"/>
                <w:szCs w:val="24"/>
              </w:rPr>
            </w:pP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A</w:t>
            </w:r>
          </w:p>
        </w:tc>
        <w:tc>
          <w:tcPr>
            <w:tcW w:w="171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B</w:t>
            </w: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C</w:t>
            </w:r>
          </w:p>
        </w:tc>
        <w:tc>
          <w:tcPr>
            <w:tcW w:w="1260" w:type="dxa"/>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Minimum</w:t>
            </w:r>
          </w:p>
        </w:tc>
      </w:tr>
      <w:tr w:rsidR="00F22815" w:rsidRPr="00E1435A" w:rsidTr="00F22815">
        <w:tc>
          <w:tcPr>
            <w:tcW w:w="63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A</w:t>
            </w:r>
          </w:p>
        </w:tc>
        <w:tc>
          <w:tcPr>
            <w:tcW w:w="1440" w:type="dxa"/>
          </w:tcPr>
          <w:p w:rsidR="00F22815" w:rsidRPr="00E1435A" w:rsidRDefault="00F22815" w:rsidP="00F22815">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 xml:space="preserve">-10 </w:t>
            </w:r>
          </w:p>
        </w:tc>
        <w:tc>
          <w:tcPr>
            <w:tcW w:w="1710" w:type="dxa"/>
          </w:tcPr>
          <w:p w:rsidR="00F22815" w:rsidRPr="00E1435A" w:rsidRDefault="00F22815" w:rsidP="00F22815">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0</w:t>
            </w:r>
          </w:p>
        </w:tc>
        <w:tc>
          <w:tcPr>
            <w:tcW w:w="1440" w:type="dxa"/>
          </w:tcPr>
          <w:p w:rsidR="00F22815" w:rsidRPr="00F22815" w:rsidRDefault="00F22815" w:rsidP="00F2281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10</w:t>
            </w:r>
          </w:p>
        </w:tc>
        <w:tc>
          <w:tcPr>
            <w:tcW w:w="1260" w:type="dxa"/>
          </w:tcPr>
          <w:p w:rsidR="00F22815" w:rsidRDefault="00F22815" w:rsidP="00F2281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-10</w:t>
            </w:r>
          </w:p>
        </w:tc>
      </w:tr>
      <w:tr w:rsidR="00F22815" w:rsidRPr="00E1435A" w:rsidTr="00F22815">
        <w:tc>
          <w:tcPr>
            <w:tcW w:w="63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B</w:t>
            </w:r>
          </w:p>
        </w:tc>
        <w:tc>
          <w:tcPr>
            <w:tcW w:w="1440" w:type="dxa"/>
          </w:tcPr>
          <w:p w:rsidR="00F22815" w:rsidRPr="00E1435A" w:rsidRDefault="00F22815" w:rsidP="00F22815">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 xml:space="preserve">10 </w:t>
            </w:r>
          </w:p>
        </w:tc>
        <w:tc>
          <w:tcPr>
            <w:tcW w:w="1710" w:type="dxa"/>
          </w:tcPr>
          <w:p w:rsidR="00F22815" w:rsidRPr="00E1435A" w:rsidRDefault="00F22815" w:rsidP="00F22815">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-20</w:t>
            </w:r>
          </w:p>
        </w:tc>
        <w:tc>
          <w:tcPr>
            <w:tcW w:w="1440" w:type="dxa"/>
          </w:tcPr>
          <w:p w:rsidR="00F22815" w:rsidRPr="00E1435A" w:rsidRDefault="00F22815" w:rsidP="00F22815">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w:t>
            </w:r>
            <w:r w:rsidRPr="00E1435A">
              <w:rPr>
                <w:rFonts w:ascii="Times New Roman" w:hAnsi="Times New Roman" w:cs="Times New Roman"/>
                <w:color w:val="333333"/>
                <w:sz w:val="24"/>
                <w:szCs w:val="24"/>
              </w:rPr>
              <w:t>5</w:t>
            </w:r>
          </w:p>
        </w:tc>
        <w:tc>
          <w:tcPr>
            <w:tcW w:w="1260" w:type="dxa"/>
          </w:tcPr>
          <w:p w:rsidR="00F22815" w:rsidRPr="00E1435A" w:rsidRDefault="00F22815" w:rsidP="00F2281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-20</w:t>
            </w:r>
          </w:p>
        </w:tc>
      </w:tr>
      <w:tr w:rsidR="00F22815" w:rsidRPr="00E1435A" w:rsidTr="00F22815">
        <w:tc>
          <w:tcPr>
            <w:tcW w:w="630" w:type="dxa"/>
            <w:tcBorders>
              <w:bottom w:val="single" w:sz="4" w:space="0" w:color="auto"/>
            </w:tcBorders>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C</w:t>
            </w:r>
          </w:p>
        </w:tc>
        <w:tc>
          <w:tcPr>
            <w:tcW w:w="1440" w:type="dxa"/>
            <w:tcBorders>
              <w:bottom w:val="single" w:sz="4" w:space="0" w:color="auto"/>
            </w:tcBorders>
          </w:tcPr>
          <w:p w:rsidR="00F22815" w:rsidRPr="00F22815" w:rsidRDefault="00F22815" w:rsidP="00F22815">
            <w:pPr>
              <w:spacing w:after="100" w:line="480" w:lineRule="auto"/>
              <w:ind w:firstLine="0"/>
              <w:rPr>
                <w:rFonts w:ascii="Times New Roman" w:hAnsi="Times New Roman" w:cs="Times New Roman"/>
                <w:sz w:val="24"/>
                <w:szCs w:val="24"/>
              </w:rPr>
            </w:pPr>
            <w:r w:rsidRPr="00F22815">
              <w:rPr>
                <w:rFonts w:ascii="Times New Roman" w:hAnsi="Times New Roman" w:cs="Times New Roman"/>
                <w:sz w:val="24"/>
                <w:szCs w:val="24"/>
              </w:rPr>
              <w:t xml:space="preserve">20 </w:t>
            </w:r>
          </w:p>
        </w:tc>
        <w:tc>
          <w:tcPr>
            <w:tcW w:w="1710" w:type="dxa"/>
            <w:tcBorders>
              <w:bottom w:val="single" w:sz="4" w:space="0" w:color="auto"/>
            </w:tcBorders>
          </w:tcPr>
          <w:p w:rsidR="00F22815" w:rsidRPr="00E1435A" w:rsidRDefault="00F22815" w:rsidP="007C47CE">
            <w:pPr>
              <w:spacing w:after="100" w:line="480" w:lineRule="auto"/>
              <w:ind w:firstLine="0"/>
              <w:rPr>
                <w:rFonts w:ascii="Times New Roman" w:hAnsi="Times New Roman" w:cs="Times New Roman"/>
                <w:sz w:val="24"/>
                <w:szCs w:val="24"/>
              </w:rPr>
            </w:pPr>
            <w:r w:rsidRPr="00F22815">
              <w:rPr>
                <w:rFonts w:ascii="Times New Roman" w:hAnsi="Times New Roman" w:cs="Times New Roman"/>
                <w:sz w:val="24"/>
                <w:szCs w:val="24"/>
              </w:rPr>
              <w:t>1</w:t>
            </w:r>
            <w:r w:rsidRPr="00F22815">
              <w:rPr>
                <w:rFonts w:ascii="Times New Roman" w:hAnsi="Times New Roman" w:cs="Times New Roman"/>
                <w:color w:val="333333"/>
                <w:sz w:val="24"/>
                <w:szCs w:val="24"/>
              </w:rPr>
              <w:t>5</w:t>
            </w:r>
          </w:p>
        </w:tc>
        <w:tc>
          <w:tcPr>
            <w:tcW w:w="1440" w:type="dxa"/>
            <w:tcBorders>
              <w:bottom w:val="single" w:sz="4" w:space="0" w:color="auto"/>
            </w:tcBorders>
          </w:tcPr>
          <w:p w:rsidR="00F22815" w:rsidRPr="00E1435A" w:rsidRDefault="00F22815" w:rsidP="00F22815">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-30</w:t>
            </w:r>
          </w:p>
        </w:tc>
        <w:tc>
          <w:tcPr>
            <w:tcW w:w="1260" w:type="dxa"/>
            <w:tcBorders>
              <w:bottom w:val="single" w:sz="4" w:space="0" w:color="auto"/>
            </w:tcBorders>
          </w:tcPr>
          <w:p w:rsidR="00F22815" w:rsidRPr="00E1435A" w:rsidRDefault="00F22815" w:rsidP="00F2281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-30</w:t>
            </w:r>
          </w:p>
        </w:tc>
      </w:tr>
      <w:tr w:rsidR="00F22815" w:rsidRPr="00E1435A" w:rsidTr="00F22815">
        <w:tc>
          <w:tcPr>
            <w:tcW w:w="630" w:type="dxa"/>
            <w:tcBorders>
              <w:left w:val="nil"/>
              <w:bottom w:val="nil"/>
              <w:right w:val="nil"/>
            </w:tcBorders>
          </w:tcPr>
          <w:p w:rsidR="00F22815" w:rsidRPr="00E1435A" w:rsidRDefault="00F22815" w:rsidP="007C47CE">
            <w:pPr>
              <w:spacing w:after="100" w:line="480" w:lineRule="auto"/>
              <w:ind w:firstLine="0"/>
              <w:rPr>
                <w:rFonts w:ascii="Times New Roman" w:hAnsi="Times New Roman" w:cs="Times New Roman"/>
                <w:sz w:val="24"/>
                <w:szCs w:val="24"/>
              </w:rPr>
            </w:pPr>
          </w:p>
        </w:tc>
        <w:tc>
          <w:tcPr>
            <w:tcW w:w="1440" w:type="dxa"/>
            <w:tcBorders>
              <w:left w:val="nil"/>
              <w:bottom w:val="nil"/>
              <w:right w:val="nil"/>
            </w:tcBorders>
          </w:tcPr>
          <w:p w:rsidR="00F22815" w:rsidRPr="00F22815" w:rsidRDefault="00F22815" w:rsidP="00F22815">
            <w:pPr>
              <w:spacing w:after="100" w:line="480" w:lineRule="auto"/>
              <w:ind w:firstLine="0"/>
              <w:rPr>
                <w:rFonts w:ascii="Times New Roman" w:hAnsi="Times New Roman" w:cs="Times New Roman"/>
                <w:sz w:val="24"/>
                <w:szCs w:val="24"/>
              </w:rPr>
            </w:pPr>
          </w:p>
        </w:tc>
        <w:tc>
          <w:tcPr>
            <w:tcW w:w="1710" w:type="dxa"/>
            <w:tcBorders>
              <w:left w:val="nil"/>
              <w:bottom w:val="nil"/>
              <w:right w:val="nil"/>
            </w:tcBorders>
          </w:tcPr>
          <w:p w:rsidR="00F22815" w:rsidRPr="00F22815" w:rsidRDefault="00F22815" w:rsidP="007C47CE">
            <w:pPr>
              <w:spacing w:after="100" w:line="480" w:lineRule="auto"/>
              <w:ind w:firstLine="0"/>
              <w:rPr>
                <w:rFonts w:ascii="Times New Roman" w:hAnsi="Times New Roman" w:cs="Times New Roman"/>
                <w:sz w:val="24"/>
                <w:szCs w:val="24"/>
              </w:rPr>
            </w:pPr>
          </w:p>
        </w:tc>
        <w:tc>
          <w:tcPr>
            <w:tcW w:w="1440" w:type="dxa"/>
            <w:tcBorders>
              <w:left w:val="nil"/>
              <w:bottom w:val="nil"/>
            </w:tcBorders>
          </w:tcPr>
          <w:p w:rsidR="00F22815" w:rsidRPr="00E1435A" w:rsidRDefault="00F22815" w:rsidP="00F2281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Maximum</w:t>
            </w:r>
            <w:r>
              <w:rPr>
                <w:rFonts w:ascii="Times New Roman" w:hAnsi="Times New Roman" w:cs="Times New Roman"/>
                <w:sz w:val="24"/>
                <w:szCs w:val="24"/>
              </w:rPr>
              <w:t xml:space="preserve"> =</w:t>
            </w:r>
          </w:p>
        </w:tc>
        <w:tc>
          <w:tcPr>
            <w:tcW w:w="1260" w:type="dxa"/>
            <w:tcBorders>
              <w:bottom w:val="single" w:sz="4" w:space="0" w:color="auto"/>
            </w:tcBorders>
          </w:tcPr>
          <w:p w:rsidR="00F22815" w:rsidRDefault="00F22815" w:rsidP="00F2281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-10</w:t>
            </w:r>
          </w:p>
        </w:tc>
      </w:tr>
    </w:tbl>
    <w:p w:rsidR="00F22815" w:rsidRDefault="00F22815" w:rsidP="00F22815">
      <w:pPr>
        <w:spacing w:after="100" w:line="480" w:lineRule="auto"/>
        <w:ind w:firstLine="0"/>
        <w:rPr>
          <w:noProof/>
        </w:rPr>
      </w:pPr>
      <w:r>
        <w:rPr>
          <w:noProof/>
        </w:rPr>
        <w:t xml:space="preserve">Similarly for player 2, </w:t>
      </w:r>
    </w:p>
    <w:tbl>
      <w:tblPr>
        <w:tblStyle w:val="TableGrid"/>
        <w:tblW w:w="0" w:type="auto"/>
        <w:tblInd w:w="1165" w:type="dxa"/>
        <w:tblLook w:val="04A0" w:firstRow="1" w:lastRow="0" w:firstColumn="1" w:lastColumn="0" w:noHBand="0" w:noVBand="1"/>
      </w:tblPr>
      <w:tblGrid>
        <w:gridCol w:w="630"/>
        <w:gridCol w:w="1440"/>
        <w:gridCol w:w="1710"/>
        <w:gridCol w:w="1440"/>
        <w:gridCol w:w="1260"/>
      </w:tblGrid>
      <w:tr w:rsidR="00F22815" w:rsidRPr="00E1435A" w:rsidTr="007C47CE">
        <w:tc>
          <w:tcPr>
            <w:tcW w:w="630" w:type="dxa"/>
          </w:tcPr>
          <w:p w:rsidR="00F22815" w:rsidRPr="00E1435A" w:rsidRDefault="00F22815" w:rsidP="007C47CE">
            <w:pPr>
              <w:spacing w:after="100" w:line="480" w:lineRule="auto"/>
              <w:ind w:firstLine="0"/>
              <w:rPr>
                <w:rFonts w:ascii="Times New Roman" w:hAnsi="Times New Roman" w:cs="Times New Roman"/>
                <w:sz w:val="24"/>
                <w:szCs w:val="24"/>
              </w:rPr>
            </w:pP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A</w:t>
            </w:r>
          </w:p>
        </w:tc>
        <w:tc>
          <w:tcPr>
            <w:tcW w:w="171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B</w:t>
            </w: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C</w:t>
            </w:r>
          </w:p>
        </w:tc>
        <w:tc>
          <w:tcPr>
            <w:tcW w:w="1260" w:type="dxa"/>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Minimum</w:t>
            </w:r>
          </w:p>
        </w:tc>
      </w:tr>
      <w:tr w:rsidR="00F22815" w:rsidRPr="00E1435A" w:rsidTr="007C47CE">
        <w:tc>
          <w:tcPr>
            <w:tcW w:w="63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A</w:t>
            </w: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 xml:space="preserve">-10 </w:t>
            </w:r>
          </w:p>
        </w:tc>
        <w:tc>
          <w:tcPr>
            <w:tcW w:w="1710" w:type="dxa"/>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w:t>
            </w:r>
            <w:r w:rsidRPr="00E1435A">
              <w:rPr>
                <w:rFonts w:ascii="Times New Roman" w:hAnsi="Times New Roman" w:cs="Times New Roman"/>
                <w:sz w:val="24"/>
                <w:szCs w:val="24"/>
              </w:rPr>
              <w:t>0</w:t>
            </w:r>
          </w:p>
        </w:tc>
        <w:tc>
          <w:tcPr>
            <w:tcW w:w="1440" w:type="dxa"/>
          </w:tcPr>
          <w:p w:rsidR="00F22815" w:rsidRPr="00F22815"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0</w:t>
            </w:r>
          </w:p>
        </w:tc>
        <w:tc>
          <w:tcPr>
            <w:tcW w:w="1260" w:type="dxa"/>
          </w:tcPr>
          <w:p w:rsidR="00F22815"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-10</w:t>
            </w:r>
          </w:p>
        </w:tc>
      </w:tr>
      <w:tr w:rsidR="00F22815" w:rsidRPr="00E1435A" w:rsidTr="007C47CE">
        <w:tc>
          <w:tcPr>
            <w:tcW w:w="63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B</w:t>
            </w: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 xml:space="preserve">0 </w:t>
            </w:r>
          </w:p>
        </w:tc>
        <w:tc>
          <w:tcPr>
            <w:tcW w:w="1710" w:type="dxa"/>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-20</w:t>
            </w:r>
          </w:p>
        </w:tc>
        <w:tc>
          <w:tcPr>
            <w:tcW w:w="1440" w:type="dxa"/>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w:t>
            </w:r>
            <w:r w:rsidRPr="00E1435A">
              <w:rPr>
                <w:rFonts w:ascii="Times New Roman" w:hAnsi="Times New Roman" w:cs="Times New Roman"/>
                <w:color w:val="333333"/>
                <w:sz w:val="24"/>
                <w:szCs w:val="24"/>
              </w:rPr>
              <w:t>5</w:t>
            </w:r>
          </w:p>
        </w:tc>
        <w:tc>
          <w:tcPr>
            <w:tcW w:w="1260" w:type="dxa"/>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-20</w:t>
            </w:r>
          </w:p>
        </w:tc>
      </w:tr>
      <w:tr w:rsidR="00F22815" w:rsidRPr="00E1435A" w:rsidTr="007C47CE">
        <w:tc>
          <w:tcPr>
            <w:tcW w:w="630" w:type="dxa"/>
            <w:tcBorders>
              <w:bottom w:val="single" w:sz="4" w:space="0" w:color="auto"/>
            </w:tcBorders>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C</w:t>
            </w:r>
          </w:p>
        </w:tc>
        <w:tc>
          <w:tcPr>
            <w:tcW w:w="1440" w:type="dxa"/>
            <w:tcBorders>
              <w:bottom w:val="single" w:sz="4" w:space="0" w:color="auto"/>
            </w:tcBorders>
          </w:tcPr>
          <w:p w:rsidR="00F22815" w:rsidRPr="00F22815"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w:t>
            </w:r>
            <w:r w:rsidRPr="00F22815">
              <w:rPr>
                <w:rFonts w:ascii="Times New Roman" w:hAnsi="Times New Roman" w:cs="Times New Roman"/>
                <w:sz w:val="24"/>
                <w:szCs w:val="24"/>
              </w:rPr>
              <w:t xml:space="preserve">0 </w:t>
            </w:r>
          </w:p>
        </w:tc>
        <w:tc>
          <w:tcPr>
            <w:tcW w:w="1710" w:type="dxa"/>
            <w:tcBorders>
              <w:bottom w:val="single" w:sz="4" w:space="0" w:color="auto"/>
            </w:tcBorders>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w:t>
            </w:r>
            <w:r w:rsidRPr="00F22815">
              <w:rPr>
                <w:rFonts w:ascii="Times New Roman" w:hAnsi="Times New Roman" w:cs="Times New Roman"/>
                <w:color w:val="333333"/>
                <w:sz w:val="24"/>
                <w:szCs w:val="24"/>
              </w:rPr>
              <w:t>5</w:t>
            </w:r>
          </w:p>
        </w:tc>
        <w:tc>
          <w:tcPr>
            <w:tcW w:w="1440" w:type="dxa"/>
            <w:tcBorders>
              <w:bottom w:val="single" w:sz="4" w:space="0" w:color="auto"/>
            </w:tcBorders>
          </w:tcPr>
          <w:p w:rsidR="00F22815" w:rsidRPr="00E1435A" w:rsidRDefault="00F22815" w:rsidP="007C47CE">
            <w:pPr>
              <w:spacing w:after="100" w:line="480" w:lineRule="auto"/>
              <w:ind w:firstLine="0"/>
              <w:rPr>
                <w:rFonts w:ascii="Times New Roman" w:hAnsi="Times New Roman" w:cs="Times New Roman"/>
                <w:sz w:val="24"/>
                <w:szCs w:val="24"/>
              </w:rPr>
            </w:pPr>
            <w:r w:rsidRPr="00E1435A">
              <w:rPr>
                <w:rFonts w:ascii="Times New Roman" w:hAnsi="Times New Roman" w:cs="Times New Roman"/>
                <w:sz w:val="24"/>
                <w:szCs w:val="24"/>
              </w:rPr>
              <w:t>-30</w:t>
            </w:r>
          </w:p>
        </w:tc>
        <w:tc>
          <w:tcPr>
            <w:tcW w:w="1260" w:type="dxa"/>
            <w:tcBorders>
              <w:bottom w:val="single" w:sz="4" w:space="0" w:color="auto"/>
            </w:tcBorders>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-30</w:t>
            </w:r>
          </w:p>
        </w:tc>
      </w:tr>
      <w:tr w:rsidR="00F22815" w:rsidRPr="00E1435A" w:rsidTr="007C47CE">
        <w:tc>
          <w:tcPr>
            <w:tcW w:w="630" w:type="dxa"/>
            <w:tcBorders>
              <w:left w:val="nil"/>
              <w:bottom w:val="nil"/>
              <w:right w:val="nil"/>
            </w:tcBorders>
          </w:tcPr>
          <w:p w:rsidR="00F22815" w:rsidRPr="00E1435A" w:rsidRDefault="00F22815" w:rsidP="007C47CE">
            <w:pPr>
              <w:spacing w:after="100" w:line="480" w:lineRule="auto"/>
              <w:ind w:firstLine="0"/>
              <w:rPr>
                <w:rFonts w:ascii="Times New Roman" w:hAnsi="Times New Roman" w:cs="Times New Roman"/>
                <w:sz w:val="24"/>
                <w:szCs w:val="24"/>
              </w:rPr>
            </w:pPr>
          </w:p>
        </w:tc>
        <w:tc>
          <w:tcPr>
            <w:tcW w:w="1440" w:type="dxa"/>
            <w:tcBorders>
              <w:left w:val="nil"/>
              <w:bottom w:val="nil"/>
              <w:right w:val="nil"/>
            </w:tcBorders>
          </w:tcPr>
          <w:p w:rsidR="00F22815" w:rsidRPr="00F22815" w:rsidRDefault="00F22815" w:rsidP="007C47CE">
            <w:pPr>
              <w:spacing w:after="100" w:line="480" w:lineRule="auto"/>
              <w:ind w:firstLine="0"/>
              <w:rPr>
                <w:rFonts w:ascii="Times New Roman" w:hAnsi="Times New Roman" w:cs="Times New Roman"/>
                <w:sz w:val="24"/>
                <w:szCs w:val="24"/>
              </w:rPr>
            </w:pPr>
          </w:p>
        </w:tc>
        <w:tc>
          <w:tcPr>
            <w:tcW w:w="1710" w:type="dxa"/>
            <w:tcBorders>
              <w:left w:val="nil"/>
              <w:bottom w:val="nil"/>
              <w:right w:val="nil"/>
            </w:tcBorders>
          </w:tcPr>
          <w:p w:rsidR="00F22815" w:rsidRPr="00F22815" w:rsidRDefault="00F22815" w:rsidP="007C47CE">
            <w:pPr>
              <w:spacing w:after="100" w:line="480" w:lineRule="auto"/>
              <w:ind w:firstLine="0"/>
              <w:rPr>
                <w:rFonts w:ascii="Times New Roman" w:hAnsi="Times New Roman" w:cs="Times New Roman"/>
                <w:sz w:val="24"/>
                <w:szCs w:val="24"/>
              </w:rPr>
            </w:pPr>
          </w:p>
        </w:tc>
        <w:tc>
          <w:tcPr>
            <w:tcW w:w="1440" w:type="dxa"/>
            <w:tcBorders>
              <w:left w:val="nil"/>
              <w:bottom w:val="nil"/>
            </w:tcBorders>
          </w:tcPr>
          <w:p w:rsidR="00F22815" w:rsidRPr="00E1435A"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Maximum =</w:t>
            </w:r>
          </w:p>
        </w:tc>
        <w:tc>
          <w:tcPr>
            <w:tcW w:w="1260" w:type="dxa"/>
            <w:tcBorders>
              <w:bottom w:val="single" w:sz="4" w:space="0" w:color="auto"/>
            </w:tcBorders>
          </w:tcPr>
          <w:p w:rsidR="00F22815" w:rsidRDefault="00F22815" w:rsidP="007C47CE">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-10</w:t>
            </w:r>
          </w:p>
        </w:tc>
      </w:tr>
    </w:tbl>
    <w:p w:rsidR="00F22815" w:rsidRDefault="00F22815" w:rsidP="006B4CC4">
      <w:pPr>
        <w:pStyle w:val="ListParagraph"/>
        <w:spacing w:after="100" w:line="480" w:lineRule="auto"/>
        <w:ind w:firstLine="0"/>
        <w:rPr>
          <w:noProof/>
        </w:rPr>
      </w:pPr>
      <w:r>
        <w:rPr>
          <w:noProof/>
        </w:rPr>
        <w:t>If both networks are rsk averse, then the euillibrium will be (A, A)</w:t>
      </w:r>
    </w:p>
    <w:p w:rsidR="006B4CC4" w:rsidRDefault="00F22815" w:rsidP="00F22815">
      <w:pPr>
        <w:pStyle w:val="ListParagraph"/>
        <w:numPr>
          <w:ilvl w:val="0"/>
          <w:numId w:val="4"/>
        </w:numPr>
        <w:spacing w:after="100" w:line="480" w:lineRule="auto"/>
      </w:pPr>
      <w:r>
        <w:rPr>
          <w:noProof/>
        </w:rPr>
        <w:t>When the firm uses the maximum strategy i.e. ‘A’ and it is known to firm 2, then firm 2 gets the maximum profit from ‘C’.</w:t>
      </w:r>
    </w:p>
    <w:p w:rsidR="00F22815" w:rsidRDefault="00F22815" w:rsidP="00F22815">
      <w:pPr>
        <w:pStyle w:val="ListParagraph"/>
        <w:numPr>
          <w:ilvl w:val="0"/>
          <w:numId w:val="4"/>
        </w:numPr>
        <w:spacing w:after="100" w:line="480" w:lineRule="auto"/>
      </w:pPr>
    </w:p>
    <w:p w:rsidR="006B4CC4" w:rsidRDefault="00F22815" w:rsidP="00F22815">
      <w:pPr>
        <w:pStyle w:val="ListParagraph"/>
        <w:spacing w:after="100" w:line="480" w:lineRule="auto"/>
        <w:ind w:firstLine="0"/>
      </w:pPr>
      <w:r>
        <w:rPr>
          <w:noProof/>
        </w:rPr>
        <w:drawing>
          <wp:inline distT="0" distB="0" distL="0" distR="0" wp14:anchorId="5898FAD2" wp14:editId="4E4A8EB2">
            <wp:extent cx="5943600" cy="33839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83915"/>
                    </a:xfrm>
                    <a:prstGeom prst="rect">
                      <a:avLst/>
                    </a:prstGeom>
                  </pic:spPr>
                </pic:pic>
              </a:graphicData>
            </a:graphic>
          </wp:inline>
        </w:drawing>
      </w:r>
    </w:p>
    <w:p w:rsidR="006B4CC4" w:rsidRDefault="006B4CC4" w:rsidP="006B4CC4"/>
    <w:p w:rsidR="00F22815" w:rsidRDefault="00F22815" w:rsidP="006B4CC4">
      <w:pPr>
        <w:tabs>
          <w:tab w:val="left" w:pos="1721"/>
        </w:tabs>
        <w:ind w:firstLine="0"/>
      </w:pPr>
    </w:p>
    <w:p w:rsidR="006B4CC4" w:rsidRDefault="006B4CC4" w:rsidP="006B4CC4">
      <w:pPr>
        <w:tabs>
          <w:tab w:val="left" w:pos="1721"/>
        </w:tabs>
        <w:ind w:firstLine="0"/>
      </w:pPr>
      <w:r>
        <w:t xml:space="preserve">3. </w:t>
      </w:r>
    </w:p>
    <w:p w:rsidR="006B4CC4"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w:t>
      </w:r>
      <w:r w:rsidR="006B4CC4">
        <w:rPr>
          <w:rFonts w:ascii="Helvetica" w:hAnsi="Helvetica" w:cs="Helvetica"/>
          <w:color w:val="333333"/>
          <w:sz w:val="21"/>
          <w:szCs w:val="21"/>
        </w:rPr>
        <w:t>).</w:t>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Consider the given issue here there are two firms "firm1" and "firm2" them two having two potential procedures "U = Under Cut" and "C = Cooperate". Presently, on the off chance that "firm1" decides to undermine then the most ideal alternative for "firm2" is to undermine, on the grounds that 100 &gt; 0. Also, on the off chance that "firm1" decides to coordinate then the most ideal alternative for "firm2" is to undermine, on the grounds that 1000 &gt; 500. Along these lines, "undermined" is ruled technique for "firm2". Thus, "undermined" is likewise overwhelmed technique for "firm1".</w:t>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Thus, the main NE is "Undercut, Undercut" and both will get result "100" separately.</w:t>
      </w:r>
    </w:p>
    <w:p w:rsidR="006B4CC4"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b)</w:t>
      </w:r>
      <w:r w:rsidR="006B4CC4">
        <w:rPr>
          <w:rFonts w:ascii="Helvetica" w:hAnsi="Helvetica" w:cs="Helvetica"/>
          <w:color w:val="333333"/>
          <w:sz w:val="21"/>
          <w:szCs w:val="21"/>
        </w:rPr>
        <w:t xml:space="preserve"> Assuming that first move is taken by the firm 1 and firm 2 make its choice by seeking the actions of firm1.</w:t>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4510405" cy="4655127"/>
            <wp:effectExtent l="0" t="0" r="4445" b="0"/>
            <wp:docPr id="4" name="Picture 4" descr="100,100 Undercut Cooperate Undercut 1000,0 Firm1 0,1000 Undercut Cooperate Cooperate 50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100 Undercut Cooperate Undercut 1000,0 Firm1 0,1000 Undercut Cooperate Cooperate 500,5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30568" cy="4675937"/>
                    </a:xfrm>
                    <a:prstGeom prst="rect">
                      <a:avLst/>
                    </a:prstGeom>
                    <a:noFill/>
                    <a:ln>
                      <a:noFill/>
                    </a:ln>
                  </pic:spPr>
                </pic:pic>
              </a:graphicData>
            </a:graphic>
          </wp:inline>
        </w:drawing>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Here in the event that "firm1" decide to "undercut" at that point "firm2" will pick undercut and both will get "100" as a result. In the event that "firm1" decide to "participate" at that point "firm2" will pick undercut and both will get "0" and "1000" separately as a result.</w:t>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Thus, as a reasonable player "firm1" choose to pick "undercut" and the NE is "undercut, undermined" will get result "100, 100".</w:t>
      </w:r>
    </w:p>
    <w:p w:rsidR="006B4CC4"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w:t>
      </w:r>
      <w:r w:rsidR="006B4CC4">
        <w:rPr>
          <w:rFonts w:ascii="Helvetica" w:hAnsi="Helvetica" w:cs="Helvetica"/>
          <w:color w:val="333333"/>
          <w:sz w:val="21"/>
          <w:szCs w:val="21"/>
        </w:rPr>
        <w:t>).</w:t>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Here in this game there don't have any first mover advantage. Since in the </w:t>
      </w:r>
      <w:r w:rsidR="001F1315">
        <w:rPr>
          <w:rFonts w:ascii="Helvetica" w:hAnsi="Helvetica" w:cs="Helvetica"/>
          <w:color w:val="333333"/>
          <w:sz w:val="21"/>
          <w:szCs w:val="21"/>
        </w:rPr>
        <w:t>former</w:t>
      </w:r>
      <w:r>
        <w:rPr>
          <w:rFonts w:ascii="Helvetica" w:hAnsi="Helvetica" w:cs="Helvetica"/>
          <w:color w:val="333333"/>
          <w:sz w:val="21"/>
          <w:szCs w:val="21"/>
        </w:rPr>
        <w:t xml:space="preserve"> case and in the last case the NE are same. Thus, there don't have any first mover advantage.</w:t>
      </w:r>
    </w:p>
    <w:p w:rsidR="006B4CC4"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d</w:t>
      </w:r>
      <w:r w:rsidR="006B4CC4">
        <w:rPr>
          <w:rFonts w:ascii="Helvetica" w:hAnsi="Helvetica" w:cs="Helvetica"/>
          <w:color w:val="333333"/>
          <w:sz w:val="21"/>
          <w:szCs w:val="21"/>
        </w:rPr>
        <w:t>).</w:t>
      </w:r>
    </w:p>
    <w:p w:rsidR="006B4CC4" w:rsidRDefault="006B4CC4"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On the off chance that a similar game is player for a very long time, at that point additionally participation won't conceivable. Since in the last time frame both will cheat by picking "undercut" to expand their result. In this way, both will proceed to "undercut" structure the first time frame. In this way, the collaboration is unimaginable if the game is played for a limited quantities of periods.</w:t>
      </w:r>
    </w:p>
    <w:p w:rsidR="001F1315"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1F1315"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e). </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To sustain cooperation, that is the long run payoff from cooperating discounted by r should be greater than the payoff from undercutting</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Payoff from Cooperation </w:t>
      </w:r>
      <w:r>
        <w:rPr>
          <w:rFonts w:ascii="Helvetica" w:hAnsi="Helvetica" w:cs="Helvetica"/>
          <w:noProof/>
          <w:color w:val="333333"/>
          <w:sz w:val="21"/>
          <w:szCs w:val="21"/>
        </w:rPr>
        <w:drawing>
          <wp:inline distT="0" distB="0" distL="0" distR="0">
            <wp:extent cx="118745" cy="142240"/>
            <wp:effectExtent l="0" t="0" r="0" b="0"/>
            <wp:docPr id="18" name="Picture 18" descr="\g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Payoff from undercutting      </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Payoff from cooperation </w:t>
      </w:r>
      <w:r>
        <w:rPr>
          <w:rFonts w:ascii="Helvetica" w:hAnsi="Helvetica" w:cs="Helvetica"/>
          <w:noProof/>
          <w:color w:val="333333"/>
          <w:sz w:val="21"/>
          <w:szCs w:val="21"/>
        </w:rPr>
        <w:drawing>
          <wp:inline distT="0" distB="0" distL="0" distR="0">
            <wp:extent cx="2564765" cy="178435"/>
            <wp:effectExtent l="0" t="0" r="6985" b="0"/>
            <wp:docPr id="17" name="Picture 17" descr="= 500 + 500r +500r^{2} + 500 r^{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500 + 500r +500r^{2} + 500 r^{3} +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4765" cy="178435"/>
                    </a:xfrm>
                    <a:prstGeom prst="rect">
                      <a:avLst/>
                    </a:prstGeom>
                    <a:noFill/>
                    <a:ln>
                      <a:noFill/>
                    </a:ln>
                  </pic:spPr>
                </pic:pic>
              </a:graphicData>
            </a:graphic>
          </wp:inline>
        </w:drawing>
      </w:r>
      <w:r>
        <w:rPr>
          <w:rFonts w:ascii="Helvetica" w:hAnsi="Helvetica" w:cs="Helvetica"/>
          <w:color w:val="333333"/>
          <w:sz w:val="21"/>
          <w:szCs w:val="21"/>
        </w:rPr>
        <w:t>                     (1)</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Payoff from undercutting </w:t>
      </w:r>
      <w:r>
        <w:rPr>
          <w:rFonts w:ascii="Helvetica" w:hAnsi="Helvetica" w:cs="Helvetica"/>
          <w:noProof/>
          <w:color w:val="333333"/>
          <w:sz w:val="21"/>
          <w:szCs w:val="21"/>
        </w:rPr>
        <w:drawing>
          <wp:inline distT="0" distB="0" distL="0" distR="0">
            <wp:extent cx="2647950" cy="178435"/>
            <wp:effectExtent l="0" t="0" r="0" b="0"/>
            <wp:docPr id="16" name="Picture 16" descr="= 1000 + 100r +100r^{2} + 100r^{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1000 + 100r +100r^{2} + 100r^{3} +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7950" cy="178435"/>
                    </a:xfrm>
                    <a:prstGeom prst="rect">
                      <a:avLst/>
                    </a:prstGeom>
                    <a:noFill/>
                    <a:ln>
                      <a:noFill/>
                    </a:ln>
                  </pic:spPr>
                </pic:pic>
              </a:graphicData>
            </a:graphic>
          </wp:inline>
        </w:drawing>
      </w:r>
      <w:r>
        <w:rPr>
          <w:rFonts w:ascii="Helvetica" w:hAnsi="Helvetica" w:cs="Helvetica"/>
          <w:color w:val="333333"/>
          <w:sz w:val="21"/>
          <w:szCs w:val="21"/>
        </w:rPr>
        <w:t>                   (2)</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To sustain cooperation Equation (1) </w:t>
      </w:r>
      <w:r>
        <w:rPr>
          <w:rFonts w:ascii="Helvetica" w:hAnsi="Helvetica" w:cs="Helvetica"/>
          <w:noProof/>
          <w:color w:val="333333"/>
          <w:sz w:val="21"/>
          <w:szCs w:val="21"/>
        </w:rPr>
        <w:drawing>
          <wp:inline distT="0" distB="0" distL="0" distR="0">
            <wp:extent cx="118745" cy="142240"/>
            <wp:effectExtent l="0" t="0" r="0" b="0"/>
            <wp:docPr id="15" name="Picture 15"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Equation (2)</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2386965" cy="178435"/>
            <wp:effectExtent l="0" t="0" r="0" b="0"/>
            <wp:docPr id="14" name="Picture 14" descr="500 + 500r +500r^{2} + 500 r^{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00 + 500r +500r^{2} + 500 r^{3} +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6965" cy="178435"/>
                    </a:xfrm>
                    <a:prstGeom prst="rect">
                      <a:avLst/>
                    </a:prstGeom>
                    <a:noFill/>
                    <a:ln>
                      <a:noFill/>
                    </a:ln>
                  </pic:spPr>
                </pic:pic>
              </a:graphicData>
            </a:graphic>
          </wp:inline>
        </w:drawing>
      </w:r>
      <w:r>
        <w:rPr>
          <w:rFonts w:ascii="Helvetica" w:hAnsi="Helvetica" w:cs="Helvetica"/>
          <w:noProof/>
          <w:color w:val="333333"/>
          <w:sz w:val="21"/>
          <w:szCs w:val="21"/>
        </w:rPr>
        <w:drawing>
          <wp:inline distT="0" distB="0" distL="0" distR="0">
            <wp:extent cx="2636520" cy="178435"/>
            <wp:effectExtent l="0" t="0" r="0" b="0"/>
            <wp:docPr id="13" name="Picture 13" descr="\geq 1000 + 100r +100r^{2} + 100r^{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q 1000 + 100r +100r^{2} + 100r^{3} +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6520" cy="178435"/>
                    </a:xfrm>
                    <a:prstGeom prst="rect">
                      <a:avLst/>
                    </a:prstGeom>
                    <a:noFill/>
                    <a:ln>
                      <a:noFill/>
                    </a:ln>
                  </pic:spPr>
                </pic:pic>
              </a:graphicData>
            </a:graphic>
          </wp:inline>
        </w:drawing>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Using the sum of an infinite geometric series</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1722120" cy="772160"/>
            <wp:effectExtent l="0" t="0" r="0" b="8890"/>
            <wp:docPr id="12" name="Picture 12" descr="a Σαηλ 1-1 k=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Σαηλ 1-1 k=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2120" cy="772160"/>
                    </a:xfrm>
                    <a:prstGeom prst="rect">
                      <a:avLst/>
                    </a:prstGeom>
                    <a:noFill/>
                    <a:ln>
                      <a:noFill/>
                    </a:ln>
                  </pic:spPr>
                </pic:pic>
              </a:graphicData>
            </a:graphic>
          </wp:inline>
        </w:drawing>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on</w:t>
      </w:r>
      <w:proofErr w:type="gramEnd"/>
      <w:r>
        <w:rPr>
          <w:rFonts w:ascii="Helvetica" w:hAnsi="Helvetica" w:cs="Helvetica"/>
          <w:color w:val="333333"/>
          <w:sz w:val="21"/>
          <w:szCs w:val="21"/>
        </w:rPr>
        <w:t xml:space="preserve"> the LHS , a = 500 &amp; on the RHS, a = 100</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500 / (1-r) </w:t>
      </w:r>
      <w:r>
        <w:rPr>
          <w:rFonts w:ascii="Helvetica" w:hAnsi="Helvetica" w:cs="Helvetica"/>
          <w:noProof/>
          <w:color w:val="333333"/>
          <w:sz w:val="21"/>
          <w:szCs w:val="21"/>
        </w:rPr>
        <w:drawing>
          <wp:inline distT="0" distB="0" distL="0" distR="0">
            <wp:extent cx="118745" cy="142240"/>
            <wp:effectExtent l="0" t="0" r="0" b="0"/>
            <wp:docPr id="11" name="Picture 11"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1000 + 100</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1-r)</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400/ (1-r) </w:t>
      </w:r>
      <w:r>
        <w:rPr>
          <w:rFonts w:ascii="Helvetica" w:hAnsi="Helvetica" w:cs="Helvetica"/>
          <w:noProof/>
          <w:color w:val="333333"/>
          <w:sz w:val="21"/>
          <w:szCs w:val="21"/>
        </w:rPr>
        <w:drawing>
          <wp:inline distT="0" distB="0" distL="0" distR="0">
            <wp:extent cx="118745" cy="142240"/>
            <wp:effectExtent l="0" t="0" r="0" b="0"/>
            <wp:docPr id="10" name="Picture 10"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1000</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400/1000 </w:t>
      </w:r>
      <w:r>
        <w:rPr>
          <w:rFonts w:ascii="Helvetica" w:hAnsi="Helvetica" w:cs="Helvetica"/>
          <w:noProof/>
          <w:color w:val="333333"/>
          <w:sz w:val="21"/>
          <w:szCs w:val="21"/>
        </w:rPr>
        <w:drawing>
          <wp:inline distT="0" distB="0" distL="0" distR="0">
            <wp:extent cx="118745" cy="142240"/>
            <wp:effectExtent l="0" t="0" r="0" b="0"/>
            <wp:docPr id="9" name="Picture 9"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(1-r)</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2/5 </w:t>
      </w:r>
      <w:r>
        <w:rPr>
          <w:rFonts w:ascii="Helvetica" w:hAnsi="Helvetica" w:cs="Helvetica"/>
          <w:noProof/>
          <w:color w:val="333333"/>
          <w:sz w:val="21"/>
          <w:szCs w:val="21"/>
        </w:rPr>
        <w:drawing>
          <wp:inline distT="0" distB="0" distL="0" distR="0">
            <wp:extent cx="118745" cy="142240"/>
            <wp:effectExtent l="0" t="0" r="0" b="0"/>
            <wp:docPr id="8" name="Picture 8"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(1-r)</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2/5 - 1    </w:t>
      </w:r>
      <w:r>
        <w:rPr>
          <w:rFonts w:ascii="Helvetica" w:hAnsi="Helvetica" w:cs="Helvetica"/>
          <w:noProof/>
          <w:color w:val="333333"/>
          <w:sz w:val="21"/>
          <w:szCs w:val="21"/>
        </w:rPr>
        <w:drawing>
          <wp:inline distT="0" distB="0" distL="0" distR="0">
            <wp:extent cx="118745" cy="142240"/>
            <wp:effectExtent l="0" t="0" r="0" b="0"/>
            <wp:docPr id="7" name="Picture 7"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-r</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-0.6 </w:t>
      </w:r>
      <w:r>
        <w:rPr>
          <w:rFonts w:ascii="Helvetica" w:hAnsi="Helvetica" w:cs="Helvetica"/>
          <w:noProof/>
          <w:color w:val="333333"/>
          <w:sz w:val="21"/>
          <w:szCs w:val="21"/>
        </w:rPr>
        <w:drawing>
          <wp:inline distT="0" distB="0" distL="0" distR="0">
            <wp:extent cx="118745" cy="142240"/>
            <wp:effectExtent l="0" t="0" r="0" b="0"/>
            <wp:docPr id="6" name="Picture 6"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Fonts w:ascii="Helvetica" w:hAnsi="Helvetica" w:cs="Helvetica"/>
          <w:color w:val="333333"/>
          <w:sz w:val="21"/>
          <w:szCs w:val="21"/>
        </w:rPr>
        <w:t> -r</w:t>
      </w:r>
    </w:p>
    <w:p w:rsidR="001F1315" w:rsidRDefault="001F1315" w:rsidP="001F1315">
      <w:pPr>
        <w:pStyle w:val="NormalWeb"/>
        <w:shd w:val="clear" w:color="auto" w:fill="FFFFFF"/>
        <w:spacing w:before="0" w:beforeAutospacing="0" w:after="0" w:afterAutospacing="0"/>
        <w:textAlignment w:val="baseline"/>
        <w:rPr>
          <w:rFonts w:ascii="Helvetica" w:hAnsi="Helvetica" w:cs="Helvetica"/>
          <w:color w:val="333333"/>
          <w:sz w:val="21"/>
          <w:szCs w:val="21"/>
        </w:rPr>
      </w:pPr>
      <w:proofErr w:type="gramStart"/>
      <w:r>
        <w:rPr>
          <w:rStyle w:val="Strong"/>
          <w:rFonts w:ascii="inherit" w:hAnsi="inherit" w:cs="Helvetica"/>
          <w:color w:val="333333"/>
          <w:sz w:val="21"/>
          <w:szCs w:val="21"/>
          <w:bdr w:val="none" w:sz="0" w:space="0" w:color="auto" w:frame="1"/>
        </w:rPr>
        <w:t>r</w:t>
      </w:r>
      <w:proofErr w:type="gramEnd"/>
      <w:r>
        <w:rPr>
          <w:rStyle w:val="Strong"/>
          <w:rFonts w:ascii="inherit" w:hAnsi="inherit" w:cs="Helvetica"/>
          <w:color w:val="333333"/>
          <w:sz w:val="21"/>
          <w:szCs w:val="21"/>
          <w:bdr w:val="none" w:sz="0" w:space="0" w:color="auto" w:frame="1"/>
        </w:rPr>
        <w:t> </w:t>
      </w:r>
      <w:r>
        <w:rPr>
          <w:rFonts w:ascii="inherit" w:hAnsi="inherit" w:cs="Helvetica"/>
          <w:b/>
          <w:bCs/>
          <w:noProof/>
          <w:color w:val="333333"/>
          <w:sz w:val="21"/>
          <w:szCs w:val="21"/>
          <w:bdr w:val="none" w:sz="0" w:space="0" w:color="auto" w:frame="1"/>
        </w:rPr>
        <w:drawing>
          <wp:inline distT="0" distB="0" distL="0" distR="0">
            <wp:extent cx="118745" cy="142240"/>
            <wp:effectExtent l="0" t="0" r="0" b="0"/>
            <wp:docPr id="5" name="Picture 5" descr="1604800778235_bl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04800778235_blo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 cy="142240"/>
                    </a:xfrm>
                    <a:prstGeom prst="rect">
                      <a:avLst/>
                    </a:prstGeom>
                    <a:noFill/>
                    <a:ln>
                      <a:noFill/>
                    </a:ln>
                  </pic:spPr>
                </pic:pic>
              </a:graphicData>
            </a:graphic>
          </wp:inline>
        </w:drawing>
      </w:r>
      <w:r>
        <w:rPr>
          <w:rStyle w:val="Strong"/>
          <w:rFonts w:ascii="inherit" w:hAnsi="inherit" w:cs="Helvetica"/>
          <w:color w:val="333333"/>
          <w:sz w:val="21"/>
          <w:szCs w:val="21"/>
          <w:bdr w:val="none" w:sz="0" w:space="0" w:color="auto" w:frame="1"/>
        </w:rPr>
        <w:t> 0.6     </w:t>
      </w:r>
      <w:r>
        <w:rPr>
          <w:rFonts w:ascii="Helvetica" w:hAnsi="Helvetica" w:cs="Helvetica"/>
          <w:color w:val="333333"/>
          <w:sz w:val="21"/>
          <w:szCs w:val="21"/>
        </w:rPr>
        <w:t> (multiplying on both sides by -1</w:t>
      </w:r>
    </w:p>
    <w:p w:rsidR="001F1315" w:rsidRDefault="001F13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Thus the discount rate r is not enough for cooperation the discount rate, r, must be at least 0.6</w:t>
      </w:r>
      <w:r w:rsidR="000167F6">
        <w:rPr>
          <w:rFonts w:ascii="Helvetica" w:hAnsi="Helvetica" w:cs="Helvetica"/>
          <w:color w:val="333333"/>
          <w:sz w:val="21"/>
          <w:szCs w:val="21"/>
        </w:rPr>
        <w:t xml:space="preserve"> so that cooperation is optimal</w:t>
      </w:r>
      <w:r w:rsidR="009611A6">
        <w:rPr>
          <w:rFonts w:ascii="Helvetica" w:hAnsi="Helvetica" w:cs="Helvetica"/>
          <w:color w:val="333333"/>
          <w:sz w:val="21"/>
          <w:szCs w:val="21"/>
        </w:rPr>
        <w:t>.</w:t>
      </w:r>
    </w:p>
    <w:p w:rsidR="009611A6" w:rsidRDefault="009611A6"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bookmarkStart w:id="0" w:name="_GoBack"/>
      <w:bookmarkEnd w:id="0"/>
    </w:p>
    <w:p w:rsidR="000167F6" w:rsidRDefault="000167F6"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4. </w:t>
      </w:r>
    </w:p>
    <w:p w:rsidR="009611A6" w:rsidRDefault="009611A6"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0167F6" w:rsidRDefault="00405015"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r w:rsidRPr="000167F6">
        <w:rPr>
          <w:rFonts w:ascii="Helvetica" w:hAnsi="Helvetica" w:cs="Helvetica"/>
          <w:color w:val="333333"/>
          <w:sz w:val="21"/>
          <w:szCs w:val="21"/>
        </w:rPr>
        <w:t>5</w:t>
      </w:r>
      <w:r w:rsidR="000167F6">
        <w:rPr>
          <w:rFonts w:ascii="Helvetica" w:hAnsi="Helvetica" w:cs="Helvetica"/>
          <w:color w:val="333333"/>
          <w:sz w:val="21"/>
          <w:szCs w:val="21"/>
        </w:rPr>
        <w:t>.</w:t>
      </w:r>
      <w:r>
        <w:rPr>
          <w:rFonts w:ascii="Helvetica" w:hAnsi="Helvetica" w:cs="Helvetica"/>
          <w:color w:val="333333"/>
          <w:sz w:val="21"/>
          <w:szCs w:val="21"/>
        </w:rPr>
        <w:t xml:space="preserve"> </w:t>
      </w:r>
      <w:r w:rsidR="000167F6">
        <w:t>Competition Policy (20 points)</w:t>
      </w:r>
    </w:p>
    <w:p w:rsidR="000167F6" w:rsidRDefault="000167F6"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Mergers are one of the business expansion strategies that the firm often utilized to increase overall profitability. Here, one firm merges with another by purchasing a large number of shares from another company. Both firms lose their independent existence and work in a combined one firm. Additionally, mergers may give firms lower cost-benefit and enlarge market share.</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a)</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Pre-merger quantity equations:</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TR1=50q1−5q21−5q1q2MR1=50−10q1−5q2MC1=20Π1=50−10q1−5q2−20=30−10q1−5q2q1=3−0.5q2TR2=50q2−5q22−5q1q2MR2=50−10q2−5q2MC2=20Π2=50−10q2−5q1−20=30−10q2−5q1q2=3−0.5q1TR1=50q1−5q21−5q1q2MR1=50−10q1−5q2MC1=20Π1=50−10q1−5q2−20=30−10q1−5q2q1=3−0.5q2TR2=50q2−5q22−5q1q2MR2=50−10q2−5q2MC2=20Π2=50−10q2−5q1−20=30−10q2−5q1q2=3−0.5q1</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Post-merger:</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Premerger industry output and price are: Q = 4 and P = $30</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Post-merger there will not be individual demand curve but the market demand curve. The quantity decreased with price rise.</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MR=MC50−10Q=2030=10QQ=3P=35MR=MC50−10Q=2030=10QQ=3P=35</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b)</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DWL=4∫</w:t>
      </w:r>
      <w:proofErr w:type="gramStart"/>
      <w:r w:rsidRPr="000167F6">
        <w:rPr>
          <w:rFonts w:ascii="Helvetica" w:eastAsia="Times New Roman" w:hAnsi="Helvetica" w:cs="Helvetica"/>
          <w:color w:val="333333"/>
          <w:sz w:val="21"/>
          <w:szCs w:val="21"/>
        </w:rPr>
        <w:t>3(</w:t>
      </w:r>
      <w:proofErr w:type="gramEnd"/>
      <w:r w:rsidRPr="000167F6">
        <w:rPr>
          <w:rFonts w:ascii="Helvetica" w:eastAsia="Times New Roman" w:hAnsi="Helvetica" w:cs="Helvetica"/>
          <w:color w:val="333333"/>
          <w:sz w:val="21"/>
          <w:szCs w:val="21"/>
        </w:rPr>
        <w:t>Ppre−MCPRE).dx=(30−20).dx=10DWL=∫34(Ppre−MCPRE).dx=(30−20).dx=10</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Thus premerger deadweight loss is equal to 40 and post-merger is 30. Thus merger is beneficial.</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c)</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Total surplus before merger=</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proofErr w:type="gramStart"/>
      <w:r w:rsidRPr="000167F6">
        <w:rPr>
          <w:rFonts w:ascii="Helvetica" w:eastAsia="Times New Roman" w:hAnsi="Helvetica" w:cs="Helvetica"/>
          <w:color w:val="333333"/>
          <w:sz w:val="21"/>
          <w:szCs w:val="21"/>
        </w:rPr>
        <w:t>=(</w:t>
      </w:r>
      <w:proofErr w:type="gramEnd"/>
      <w:r w:rsidRPr="000167F6">
        <w:rPr>
          <w:rFonts w:ascii="Helvetica" w:eastAsia="Times New Roman" w:hAnsi="Helvetica" w:cs="Helvetica"/>
          <w:color w:val="333333"/>
          <w:sz w:val="21"/>
          <w:szCs w:val="21"/>
        </w:rPr>
        <w:t>30−0)(4−0)=120=(30−0)(4−0)=120</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Total surplus post-merger=</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proofErr w:type="gramStart"/>
      <w:r w:rsidRPr="000167F6">
        <w:rPr>
          <w:rFonts w:ascii="Helvetica" w:eastAsia="Times New Roman" w:hAnsi="Helvetica" w:cs="Helvetica"/>
          <w:color w:val="333333"/>
          <w:sz w:val="21"/>
          <w:szCs w:val="21"/>
        </w:rPr>
        <w:t>=(</w:t>
      </w:r>
      <w:proofErr w:type="gramEnd"/>
      <w:r w:rsidRPr="000167F6">
        <w:rPr>
          <w:rFonts w:ascii="Helvetica" w:eastAsia="Times New Roman" w:hAnsi="Helvetica" w:cs="Helvetica"/>
          <w:color w:val="333333"/>
          <w:sz w:val="21"/>
          <w:szCs w:val="21"/>
        </w:rPr>
        <w:t>35−0)(3−0)=105=(35−0)(3−0)=105</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This merger is not advisable. Total surplus has decreased with merger.</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d)</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Cost savings before merger=</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MC=15P=50−5QMR=50−10QMR=MC50−10Q=15Q=3.5P=50−</w:t>
      </w:r>
      <w:proofErr w:type="gramStart"/>
      <w:r w:rsidRPr="000167F6">
        <w:rPr>
          <w:rFonts w:ascii="Helvetica" w:eastAsia="Times New Roman" w:hAnsi="Helvetica" w:cs="Helvetica"/>
          <w:color w:val="333333"/>
          <w:sz w:val="21"/>
          <w:szCs w:val="21"/>
        </w:rPr>
        <w:t>5(</w:t>
      </w:r>
      <w:proofErr w:type="gramEnd"/>
      <w:r w:rsidRPr="000167F6">
        <w:rPr>
          <w:rFonts w:ascii="Helvetica" w:eastAsia="Times New Roman" w:hAnsi="Helvetica" w:cs="Helvetica"/>
          <w:color w:val="333333"/>
          <w:sz w:val="21"/>
          <w:szCs w:val="21"/>
        </w:rPr>
        <w:t>3.5)=32.5MC=15P=50−5QMR=50−10QMR=MC50−10Q=15Q=3.5P=50−5(3.5)=32.5</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e)</w:t>
      </w:r>
    </w:p>
    <w:tbl>
      <w:tblPr>
        <w:tblW w:w="9975" w:type="dxa"/>
        <w:shd w:val="clear" w:color="auto" w:fill="FFFFFF"/>
        <w:tblCellMar>
          <w:left w:w="0" w:type="dxa"/>
          <w:right w:w="0" w:type="dxa"/>
        </w:tblCellMar>
        <w:tblLook w:val="04A0" w:firstRow="1" w:lastRow="0" w:firstColumn="1" w:lastColumn="0" w:noHBand="0" w:noVBand="1"/>
      </w:tblPr>
      <w:tblGrid>
        <w:gridCol w:w="9975"/>
      </w:tblGrid>
      <w:tr w:rsidR="000167F6" w:rsidRPr="000167F6" w:rsidTr="000167F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0167F6" w:rsidRPr="000167F6" w:rsidRDefault="000167F6" w:rsidP="000167F6">
            <w:pPr>
              <w:spacing w:before="0" w:beforeAutospacing="0" w:after="0" w:afterAutospacing="0" w:line="240" w:lineRule="auto"/>
              <w:ind w:firstLine="0"/>
              <w:rPr>
                <w:rFonts w:ascii="Helvetica" w:eastAsia="Times New Roman" w:hAnsi="Helvetica" w:cs="Helvetica"/>
                <w:color w:val="333333"/>
                <w:sz w:val="21"/>
                <w:szCs w:val="21"/>
              </w:rPr>
            </w:pPr>
            <w:r w:rsidRPr="000167F6">
              <w:rPr>
                <w:rFonts w:ascii="Helvetica" w:eastAsia="Times New Roman" w:hAnsi="Helvetica" w:cs="Helvetica"/>
                <w:noProof/>
                <w:color w:val="333333"/>
                <w:sz w:val="21"/>
                <w:szCs w:val="21"/>
              </w:rPr>
              <w:drawing>
                <wp:inline distT="0" distB="0" distL="0" distR="0">
                  <wp:extent cx="3811905" cy="3230245"/>
                  <wp:effectExtent l="0" t="0" r="0" b="8255"/>
                  <wp:docPr id="23" name="Picture 23" descr="P, C 35 30 20 Deadweight loss Cost benefit МСІ 15 MC2 34 DD 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 C 35 30 20 Deadweight loss Cost benefit МСІ 15 MC2 34 DD M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1905" cy="3230245"/>
                          </a:xfrm>
                          <a:prstGeom prst="rect">
                            <a:avLst/>
                          </a:prstGeom>
                          <a:noFill/>
                          <a:ln>
                            <a:noFill/>
                          </a:ln>
                        </pic:spPr>
                      </pic:pic>
                    </a:graphicData>
                  </a:graphic>
                </wp:inline>
              </w:drawing>
            </w:r>
          </w:p>
        </w:tc>
      </w:tr>
    </w:tbl>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f)</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Cost savings=</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proofErr w:type="gramStart"/>
      <w:r w:rsidRPr="000167F6">
        <w:rPr>
          <w:rFonts w:ascii="Helvetica" w:eastAsia="Times New Roman" w:hAnsi="Helvetica" w:cs="Helvetica"/>
          <w:color w:val="333333"/>
          <w:sz w:val="21"/>
          <w:szCs w:val="21"/>
        </w:rPr>
        <w:t>=(</w:t>
      </w:r>
      <w:proofErr w:type="gramEnd"/>
      <w:r w:rsidRPr="000167F6">
        <w:rPr>
          <w:rFonts w:ascii="Helvetica" w:eastAsia="Times New Roman" w:hAnsi="Helvetica" w:cs="Helvetica"/>
          <w:color w:val="333333"/>
          <w:sz w:val="21"/>
          <w:szCs w:val="21"/>
        </w:rPr>
        <w:t>20−15)(4−3)=5=(20−15)(4−3)=5</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g)</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DWL=4∫</w:t>
      </w:r>
      <w:proofErr w:type="gramStart"/>
      <w:r w:rsidRPr="000167F6">
        <w:rPr>
          <w:rFonts w:ascii="Helvetica" w:eastAsia="Times New Roman" w:hAnsi="Helvetica" w:cs="Helvetica"/>
          <w:color w:val="333333"/>
          <w:sz w:val="21"/>
          <w:szCs w:val="21"/>
        </w:rPr>
        <w:t>3(</w:t>
      </w:r>
      <w:proofErr w:type="gramEnd"/>
      <w:r w:rsidRPr="000167F6">
        <w:rPr>
          <w:rFonts w:ascii="Helvetica" w:eastAsia="Times New Roman" w:hAnsi="Helvetica" w:cs="Helvetica"/>
          <w:color w:val="333333"/>
          <w:sz w:val="21"/>
          <w:szCs w:val="21"/>
        </w:rPr>
        <w:t>Ppre−MCPRE).dx=(32.5−15).dx=17.5DWL=∫34(Ppre−MCPRE).dx=(32.5−15).dx=17.5</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r w:rsidRPr="000167F6">
        <w:rPr>
          <w:rFonts w:ascii="inherit" w:eastAsia="Times New Roman" w:hAnsi="inherit" w:cs="Helvetica"/>
          <w:b/>
          <w:bCs/>
          <w:color w:val="333333"/>
          <w:sz w:val="21"/>
          <w:szCs w:val="21"/>
          <w:bdr w:val="none" w:sz="0" w:space="0" w:color="auto" w:frame="1"/>
        </w:rPr>
        <w:t>h)</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Pre-merger DWL=</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proofErr w:type="gramStart"/>
      <w:r w:rsidRPr="000167F6">
        <w:rPr>
          <w:rFonts w:ascii="Helvetica" w:eastAsia="Times New Roman" w:hAnsi="Helvetica" w:cs="Helvetica"/>
          <w:color w:val="333333"/>
          <w:sz w:val="21"/>
          <w:szCs w:val="21"/>
        </w:rPr>
        <w:t>=(</w:t>
      </w:r>
      <w:proofErr w:type="gramEnd"/>
      <w:r w:rsidRPr="000167F6">
        <w:rPr>
          <w:rFonts w:ascii="Helvetica" w:eastAsia="Times New Roman" w:hAnsi="Helvetica" w:cs="Helvetica"/>
          <w:color w:val="333333"/>
          <w:sz w:val="21"/>
          <w:szCs w:val="21"/>
        </w:rPr>
        <w:t>30−20)(4−3)=10=(30−20)(4−3)=10</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Post-merger DWL with MC=15</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proofErr w:type="gramStart"/>
      <w:r w:rsidRPr="000167F6">
        <w:rPr>
          <w:rFonts w:ascii="Helvetica" w:eastAsia="Times New Roman" w:hAnsi="Helvetica" w:cs="Helvetica"/>
          <w:color w:val="333333"/>
          <w:sz w:val="21"/>
          <w:szCs w:val="21"/>
        </w:rPr>
        <w:t>=(</w:t>
      </w:r>
      <w:proofErr w:type="gramEnd"/>
      <w:r w:rsidRPr="000167F6">
        <w:rPr>
          <w:rFonts w:ascii="Helvetica" w:eastAsia="Times New Roman" w:hAnsi="Helvetica" w:cs="Helvetica"/>
          <w:color w:val="333333"/>
          <w:sz w:val="21"/>
          <w:szCs w:val="21"/>
        </w:rPr>
        <w:t>32.5−15)(3.5−3)=8.75=(32.5−15)(3.5−3)=8.75</w:t>
      </w:r>
    </w:p>
    <w:p w:rsidR="000167F6" w:rsidRPr="000167F6" w:rsidRDefault="000167F6" w:rsidP="000167F6">
      <w:pPr>
        <w:shd w:val="clear" w:color="auto" w:fill="FFFFFF"/>
        <w:spacing w:before="0" w:beforeAutospacing="0" w:after="0" w:afterAutospacing="0" w:line="240" w:lineRule="auto"/>
        <w:ind w:firstLine="0"/>
        <w:textAlignment w:val="baseline"/>
        <w:rPr>
          <w:rFonts w:ascii="Helvetica" w:eastAsia="Times New Roman" w:hAnsi="Helvetica" w:cs="Helvetica"/>
          <w:color w:val="333333"/>
          <w:sz w:val="21"/>
          <w:szCs w:val="21"/>
        </w:rPr>
      </w:pPr>
      <w:proofErr w:type="spellStart"/>
      <w:proofErr w:type="gramStart"/>
      <w:r w:rsidRPr="000167F6">
        <w:rPr>
          <w:rFonts w:ascii="inherit" w:eastAsia="Times New Roman" w:hAnsi="inherit" w:cs="Helvetica"/>
          <w:b/>
          <w:bCs/>
          <w:color w:val="333333"/>
          <w:sz w:val="21"/>
          <w:szCs w:val="21"/>
          <w:bdr w:val="none" w:sz="0" w:space="0" w:color="auto" w:frame="1"/>
        </w:rPr>
        <w:t>i</w:t>
      </w:r>
      <w:proofErr w:type="spellEnd"/>
      <w:proofErr w:type="gramEnd"/>
      <w:r w:rsidRPr="000167F6">
        <w:rPr>
          <w:rFonts w:ascii="inherit" w:eastAsia="Times New Roman" w:hAnsi="inherit" w:cs="Helvetica"/>
          <w:b/>
          <w:bCs/>
          <w:color w:val="333333"/>
          <w:sz w:val="21"/>
          <w:szCs w:val="21"/>
          <w:bdr w:val="none" w:sz="0" w:space="0" w:color="auto" w:frame="1"/>
        </w:rPr>
        <w:t>)</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Post-merger DWL with MC=20 is less hence this merger is good. But if MC=15, this increases price but DWL is lesser. Hence with cost synergies merger is more viable.</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Total surplus before merger was 120. With cost MC=15, new Total surplus is:</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proofErr w:type="gramStart"/>
      <w:r w:rsidRPr="000167F6">
        <w:rPr>
          <w:rFonts w:ascii="Helvetica" w:eastAsia="Times New Roman" w:hAnsi="Helvetica" w:cs="Helvetica"/>
          <w:color w:val="333333"/>
          <w:sz w:val="21"/>
          <w:szCs w:val="21"/>
        </w:rPr>
        <w:t>=(</w:t>
      </w:r>
      <w:proofErr w:type="gramEnd"/>
      <w:r w:rsidRPr="000167F6">
        <w:rPr>
          <w:rFonts w:ascii="Helvetica" w:eastAsia="Times New Roman" w:hAnsi="Helvetica" w:cs="Helvetica"/>
          <w:color w:val="333333"/>
          <w:sz w:val="21"/>
          <w:szCs w:val="21"/>
        </w:rPr>
        <w:t>32.5−0)(3.5−0)=113.75=(32.5−0)(3.5−0)=113.75</w:t>
      </w:r>
    </w:p>
    <w:p w:rsidR="000167F6" w:rsidRPr="000167F6" w:rsidRDefault="000167F6" w:rsidP="000167F6">
      <w:pPr>
        <w:shd w:val="clear" w:color="auto" w:fill="FFFFFF"/>
        <w:spacing w:before="0" w:beforeAutospacing="0" w:after="240" w:afterAutospacing="0" w:line="240" w:lineRule="auto"/>
        <w:ind w:firstLine="0"/>
        <w:textAlignment w:val="baseline"/>
        <w:rPr>
          <w:rFonts w:ascii="Helvetica" w:eastAsia="Times New Roman" w:hAnsi="Helvetica" w:cs="Helvetica"/>
          <w:color w:val="333333"/>
          <w:sz w:val="21"/>
          <w:szCs w:val="21"/>
        </w:rPr>
      </w:pPr>
      <w:r w:rsidRPr="000167F6">
        <w:rPr>
          <w:rFonts w:ascii="Helvetica" w:eastAsia="Times New Roman" w:hAnsi="Helvetica" w:cs="Helvetica"/>
          <w:color w:val="333333"/>
          <w:sz w:val="21"/>
          <w:szCs w:val="21"/>
        </w:rPr>
        <w:t>Considering further decrease in total surplus this merger is again not advisable.</w:t>
      </w:r>
    </w:p>
    <w:p w:rsidR="000167F6" w:rsidRDefault="000167F6" w:rsidP="001F1315">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1F1315" w:rsidRDefault="001F1315" w:rsidP="006B4CC4">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6B4CC4" w:rsidRPr="006B4CC4" w:rsidRDefault="006B4CC4" w:rsidP="006B4CC4">
      <w:pPr>
        <w:tabs>
          <w:tab w:val="left" w:pos="1721"/>
        </w:tabs>
        <w:ind w:firstLine="0"/>
      </w:pPr>
    </w:p>
    <w:sectPr w:rsidR="006B4CC4" w:rsidRPr="006B4C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46210"/>
    <w:multiLevelType w:val="hybridMultilevel"/>
    <w:tmpl w:val="18920DCE"/>
    <w:lvl w:ilvl="0" w:tplc="0A604E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301832"/>
    <w:multiLevelType w:val="hybridMultilevel"/>
    <w:tmpl w:val="BD4A619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1291D"/>
    <w:multiLevelType w:val="hybridMultilevel"/>
    <w:tmpl w:val="DCB007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CD3E1B"/>
    <w:multiLevelType w:val="multilevel"/>
    <w:tmpl w:val="D810758A"/>
    <w:lvl w:ilvl="0">
      <w:start w:val="1"/>
      <w:numFmt w:val="upp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88"/>
    <w:rsid w:val="000167F6"/>
    <w:rsid w:val="001D1837"/>
    <w:rsid w:val="001F1315"/>
    <w:rsid w:val="00405015"/>
    <w:rsid w:val="00434372"/>
    <w:rsid w:val="00635C63"/>
    <w:rsid w:val="006B4CC4"/>
    <w:rsid w:val="00774642"/>
    <w:rsid w:val="008265C3"/>
    <w:rsid w:val="008D3945"/>
    <w:rsid w:val="00905A0E"/>
    <w:rsid w:val="009611A6"/>
    <w:rsid w:val="009E7F05"/>
    <w:rsid w:val="00B72725"/>
    <w:rsid w:val="00C15DCE"/>
    <w:rsid w:val="00CF2EA7"/>
    <w:rsid w:val="00D71388"/>
    <w:rsid w:val="00E1435A"/>
    <w:rsid w:val="00E75DBD"/>
    <w:rsid w:val="00EC24F2"/>
    <w:rsid w:val="00F22815"/>
    <w:rsid w:val="00FB7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3570E-43B0-4DBC-A3E7-D20A6D168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81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F67"/>
    <w:pPr>
      <w:ind w:left="720"/>
      <w:contextualSpacing/>
    </w:pPr>
  </w:style>
  <w:style w:type="paragraph" w:styleId="NormalWeb">
    <w:name w:val="Normal (Web)"/>
    <w:basedOn w:val="Normal"/>
    <w:uiPriority w:val="99"/>
    <w:semiHidden/>
    <w:unhideWhenUsed/>
    <w:rsid w:val="006B4CC4"/>
    <w:pPr>
      <w:spacing w:after="100"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1F1315"/>
    <w:rPr>
      <w:b/>
      <w:bCs/>
    </w:rPr>
  </w:style>
  <w:style w:type="table" w:styleId="TableGrid">
    <w:name w:val="Table Grid"/>
    <w:basedOn w:val="TableNormal"/>
    <w:uiPriority w:val="39"/>
    <w:rsid w:val="00E1435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272679">
      <w:bodyDiv w:val="1"/>
      <w:marLeft w:val="0"/>
      <w:marRight w:val="0"/>
      <w:marTop w:val="0"/>
      <w:marBottom w:val="0"/>
      <w:divBdr>
        <w:top w:val="none" w:sz="0" w:space="0" w:color="auto"/>
        <w:left w:val="none" w:sz="0" w:space="0" w:color="auto"/>
        <w:bottom w:val="none" w:sz="0" w:space="0" w:color="auto"/>
        <w:right w:val="none" w:sz="0" w:space="0" w:color="auto"/>
      </w:divBdr>
    </w:div>
    <w:div w:id="1097755884">
      <w:bodyDiv w:val="1"/>
      <w:marLeft w:val="0"/>
      <w:marRight w:val="0"/>
      <w:marTop w:val="0"/>
      <w:marBottom w:val="0"/>
      <w:divBdr>
        <w:top w:val="none" w:sz="0" w:space="0" w:color="auto"/>
        <w:left w:val="none" w:sz="0" w:space="0" w:color="auto"/>
        <w:bottom w:val="none" w:sz="0" w:space="0" w:color="auto"/>
        <w:right w:val="none" w:sz="0" w:space="0" w:color="auto"/>
      </w:divBdr>
    </w:div>
    <w:div w:id="1588659618">
      <w:bodyDiv w:val="1"/>
      <w:marLeft w:val="0"/>
      <w:marRight w:val="0"/>
      <w:marTop w:val="0"/>
      <w:marBottom w:val="0"/>
      <w:divBdr>
        <w:top w:val="none" w:sz="0" w:space="0" w:color="auto"/>
        <w:left w:val="none" w:sz="0" w:space="0" w:color="auto"/>
        <w:bottom w:val="none" w:sz="0" w:space="0" w:color="auto"/>
        <w:right w:val="none" w:sz="0" w:space="0" w:color="auto"/>
      </w:divBdr>
    </w:div>
    <w:div w:id="1625692462">
      <w:bodyDiv w:val="1"/>
      <w:marLeft w:val="0"/>
      <w:marRight w:val="0"/>
      <w:marTop w:val="0"/>
      <w:marBottom w:val="0"/>
      <w:divBdr>
        <w:top w:val="none" w:sz="0" w:space="0" w:color="auto"/>
        <w:left w:val="none" w:sz="0" w:space="0" w:color="auto"/>
        <w:bottom w:val="none" w:sz="0" w:space="0" w:color="auto"/>
        <w:right w:val="none" w:sz="0" w:space="0" w:color="auto"/>
      </w:divBdr>
    </w:div>
    <w:div w:id="188451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gi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8</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2020-11-15T20:33:00Z</dcterms:created>
  <dcterms:modified xsi:type="dcterms:W3CDTF">2020-11-16T10:03:00Z</dcterms:modified>
</cp:coreProperties>
</file>